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02" w:rsidRDefault="002E448F">
      <w:hyperlink r:id="rId5" w:history="1">
        <w:r w:rsidRPr="00C85DDE">
          <w:rPr>
            <w:rStyle w:val="a3"/>
          </w:rPr>
          <w:t>https://chelovekizakon.ru/dela/dva-opravdatel-nyh-i-odin-obvinitel-nyj</w:t>
        </w:r>
      </w:hyperlink>
    </w:p>
    <w:p w:rsidR="002E448F" w:rsidRDefault="002E448F">
      <w:r>
        <w:rPr>
          <w:noProof/>
          <w:lang w:eastAsia="ru-RU"/>
        </w:rPr>
        <w:drawing>
          <wp:inline distT="0" distB="0" distL="0" distR="0" wp14:anchorId="0DD826A0" wp14:editId="115F579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F"/>
    <w:rsid w:val="002E448F"/>
    <w:rsid w:val="004022DF"/>
    <w:rsid w:val="00D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helovekizakon.ru/dela/dva-opravdatel-nyh-i-odin-obvinitel-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2021-10-22T20:07:00Z</dcterms:created>
  <dcterms:modified xsi:type="dcterms:W3CDTF">2021-10-22T20:07:00Z</dcterms:modified>
</cp:coreProperties>
</file>