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212"/>
        <w:gridCol w:w="213"/>
        <w:gridCol w:w="23"/>
        <w:gridCol w:w="1962"/>
        <w:gridCol w:w="420"/>
        <w:gridCol w:w="5147"/>
      </w:tblGrid>
      <w:tr w:rsidR="00714972" w:rsidRPr="00714972" w14:paraId="6B6A36F9" w14:textId="77777777" w:rsidTr="00A162CD">
        <w:trPr>
          <w:trHeight w:hRule="exact" w:val="3856"/>
        </w:trPr>
        <w:tc>
          <w:tcPr>
            <w:tcW w:w="4395" w:type="dxa"/>
            <w:gridSpan w:val="6"/>
          </w:tcPr>
          <w:p w14:paraId="6B6A36F6" w14:textId="5D0A266A" w:rsidR="00E336FD" w:rsidRPr="00714972" w:rsidRDefault="00895484" w:rsidP="00A162CD">
            <w:pPr>
              <w:pStyle w:val="11"/>
              <w:spacing w:before="0" w:line="360" w:lineRule="auto"/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708852" wp14:editId="68AE2A03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-193040</wp:posOffset>
                      </wp:positionV>
                      <wp:extent cx="121920" cy="257175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43.9pt;margin-top:-15.2pt;width:9.6pt;height:20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" fillcolor="white [3212]" stroked="f" strokeweight="2pt"/>
                  </w:pict>
                </mc:Fallback>
              </mc:AlternateContent>
            </w:r>
            <w:r w:rsidR="00CE3D95" w:rsidRPr="00CE3D95">
              <w:rPr>
                <w:bCs/>
                <w:iCs/>
                <w:noProof/>
              </w:rPr>
              <w:drawing>
                <wp:anchor distT="0" distB="0" distL="114300" distR="114300" simplePos="0" relativeHeight="251677696" behindDoc="1" locked="0" layoutInCell="1" allowOverlap="1" wp14:anchorId="06EFB9D0" wp14:editId="2EC1422B">
                  <wp:simplePos x="0" y="0"/>
                  <wp:positionH relativeFrom="page">
                    <wp:posOffset>0</wp:posOffset>
                  </wp:positionH>
                  <wp:positionV relativeFrom="page">
                    <wp:posOffset>-17780</wp:posOffset>
                  </wp:positionV>
                  <wp:extent cx="6300000" cy="3466800"/>
                  <wp:effectExtent l="0" t="0" r="5715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34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" w:type="dxa"/>
          </w:tcPr>
          <w:p w14:paraId="6B6A36F7" w14:textId="77777777" w:rsidR="00E336FD" w:rsidRPr="00714972" w:rsidRDefault="00E336FD" w:rsidP="006D231F">
            <w:pPr>
              <w:pStyle w:val="a0"/>
              <w:ind w:firstLine="0"/>
            </w:pPr>
          </w:p>
        </w:tc>
        <w:tc>
          <w:tcPr>
            <w:tcW w:w="5147" w:type="dxa"/>
            <w:vMerge w:val="restart"/>
          </w:tcPr>
          <w:p w14:paraId="3934E70E" w14:textId="3FDEA1A4" w:rsidR="00E336FD" w:rsidRDefault="00973ECF" w:rsidP="00821436">
            <w:pPr>
              <w:pStyle w:val="a0"/>
              <w:spacing w:before="60" w:line="240" w:lineRule="auto"/>
              <w:ind w:left="147" w:hanging="147"/>
              <w:jc w:val="left"/>
            </w:pPr>
            <w:r>
              <w:t>Федорищеву В.Ф.</w:t>
            </w:r>
          </w:p>
          <w:p w14:paraId="75DE89F6" w14:textId="77777777" w:rsidR="00E328BC" w:rsidRDefault="00E328BC" w:rsidP="00821436">
            <w:pPr>
              <w:pStyle w:val="a0"/>
              <w:spacing w:before="60" w:line="240" w:lineRule="auto"/>
              <w:ind w:left="147" w:hanging="147"/>
              <w:jc w:val="left"/>
            </w:pPr>
          </w:p>
          <w:p w14:paraId="6B6A36F8" w14:textId="3F1C83CD" w:rsidR="00E328BC" w:rsidRPr="00973ECF" w:rsidRDefault="00973ECF" w:rsidP="00973ECF">
            <w:pPr>
              <w:pStyle w:val="a0"/>
              <w:spacing w:before="60" w:line="240" w:lineRule="auto"/>
              <w:ind w:left="147" w:hanging="147"/>
              <w:jc w:val="left"/>
            </w:pPr>
            <w:hyperlink r:id="rId9" w:history="1">
              <w:r w:rsidRPr="00973ECF">
                <w:rPr>
                  <w:rStyle w:val="af1"/>
                  <w:color w:val="auto"/>
                  <w:u w:val="none"/>
                  <w:lang w:val="en-US"/>
                </w:rPr>
                <w:t>fedorishev</w:t>
              </w:r>
              <w:r w:rsidRPr="00973ECF">
                <w:rPr>
                  <w:rStyle w:val="af1"/>
                  <w:color w:val="auto"/>
                  <w:u w:val="none"/>
                </w:rPr>
                <w:t>65@</w:t>
              </w:r>
              <w:r w:rsidRPr="00973ECF">
                <w:rPr>
                  <w:rStyle w:val="af1"/>
                  <w:color w:val="auto"/>
                  <w:u w:val="none"/>
                  <w:lang w:val="en-US"/>
                </w:rPr>
                <w:t>mail</w:t>
              </w:r>
              <w:r w:rsidRPr="00973ECF">
                <w:rPr>
                  <w:rStyle w:val="af1"/>
                  <w:color w:val="auto"/>
                  <w:u w:val="none"/>
                </w:rPr>
                <w:t>.</w:t>
              </w:r>
              <w:r w:rsidRPr="00973ECF">
                <w:rPr>
                  <w:rStyle w:val="af1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9A1970" w:rsidRPr="00714972" w14:paraId="6B6A36FD" w14:textId="77777777" w:rsidTr="0093367E">
        <w:trPr>
          <w:trHeight w:hRule="exact" w:val="510"/>
        </w:trPr>
        <w:tc>
          <w:tcPr>
            <w:tcW w:w="1985" w:type="dxa"/>
            <w:gridSpan w:val="2"/>
          </w:tcPr>
          <w:p w14:paraId="335779BE" w14:textId="3D90C4E6" w:rsidR="009A1970" w:rsidRPr="00E25EE1" w:rsidRDefault="009A1970" w:rsidP="0093367E">
            <w:pPr>
              <w:pStyle w:val="af0"/>
              <w:rPr>
                <w:rFonts w:ascii="Times New Roman" w:hAnsi="Times New Roman" w:cs="Book Antiqua"/>
                <w:sz w:val="22"/>
                <w:szCs w:val="22"/>
                <w:lang w:eastAsia="en-US"/>
              </w:rPr>
            </w:pPr>
            <w:r w:rsidRPr="00097D14">
              <w:rPr>
                <w:rFonts w:ascii="Times New Roman" w:eastAsia="Times New Roman" w:hAnsi="Times New Roman"/>
                <w:color w:val="F2F2F2" w:themeColor="background1" w:themeShade="F2"/>
                <w:sz w:val="20"/>
                <w:szCs w:val="20"/>
                <w:lang w:val="en-US"/>
              </w:rPr>
              <w:t>%REG_DATE%</w:t>
            </w:r>
          </w:p>
        </w:tc>
        <w:tc>
          <w:tcPr>
            <w:tcW w:w="425" w:type="dxa"/>
            <w:gridSpan w:val="2"/>
          </w:tcPr>
          <w:p w14:paraId="3DE64757" w14:textId="77777777" w:rsidR="009A1970" w:rsidRPr="00E25EE1" w:rsidRDefault="009A1970" w:rsidP="0093367E">
            <w:pPr>
              <w:pStyle w:val="af0"/>
              <w:rPr>
                <w:rFonts w:ascii="Times New Roman" w:hAnsi="Times New Roman" w:cs="Book Antiqua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</w:tcPr>
          <w:p w14:paraId="6B6A36FA" w14:textId="0E15AFCD" w:rsidR="009A1970" w:rsidRPr="00E25EE1" w:rsidRDefault="009A1970" w:rsidP="0093367E">
            <w:pPr>
              <w:pStyle w:val="af0"/>
              <w:rPr>
                <w:rFonts w:ascii="Times New Roman" w:hAnsi="Times New Roman" w:cs="Book Antiqua"/>
                <w:sz w:val="22"/>
                <w:szCs w:val="22"/>
                <w:lang w:eastAsia="en-US"/>
              </w:rPr>
            </w:pPr>
            <w:r w:rsidRPr="00097D14">
              <w:rPr>
                <w:rFonts w:ascii="Times New Roman" w:eastAsia="Times New Roman" w:hAnsi="Times New Roman"/>
                <w:color w:val="F2F2F2" w:themeColor="background1" w:themeShade="F2"/>
                <w:sz w:val="20"/>
                <w:szCs w:val="20"/>
                <w:lang w:val="en-US"/>
              </w:rPr>
              <w:t>%REG_NUM%</w:t>
            </w:r>
          </w:p>
        </w:tc>
        <w:tc>
          <w:tcPr>
            <w:tcW w:w="420" w:type="dxa"/>
          </w:tcPr>
          <w:p w14:paraId="6B6A36FB" w14:textId="77777777" w:rsidR="009A1970" w:rsidRPr="00714972" w:rsidRDefault="009A1970" w:rsidP="009A1970">
            <w:pPr>
              <w:pStyle w:val="a0"/>
              <w:ind w:firstLine="0"/>
              <w:jc w:val="center"/>
            </w:pPr>
          </w:p>
        </w:tc>
        <w:tc>
          <w:tcPr>
            <w:tcW w:w="5147" w:type="dxa"/>
            <w:vMerge/>
          </w:tcPr>
          <w:p w14:paraId="6B6A36FC" w14:textId="77777777" w:rsidR="009A1970" w:rsidRPr="00714972" w:rsidRDefault="009A1970" w:rsidP="009A1970">
            <w:pPr>
              <w:pStyle w:val="a0"/>
              <w:ind w:firstLine="0"/>
              <w:jc w:val="center"/>
            </w:pPr>
          </w:p>
        </w:tc>
      </w:tr>
      <w:tr w:rsidR="009A1970" w:rsidRPr="00714972" w14:paraId="6B6A3701" w14:textId="77777777" w:rsidTr="0093367E">
        <w:trPr>
          <w:trHeight w:hRule="exact" w:val="624"/>
        </w:trPr>
        <w:tc>
          <w:tcPr>
            <w:tcW w:w="567" w:type="dxa"/>
          </w:tcPr>
          <w:p w14:paraId="6B1BF62A" w14:textId="77777777" w:rsidR="009A1970" w:rsidRPr="00FB69D5" w:rsidRDefault="009A1970" w:rsidP="0093367E">
            <w:pPr>
              <w:tabs>
                <w:tab w:val="left" w:pos="743"/>
                <w:tab w:val="left" w:pos="2019"/>
                <w:tab w:val="left" w:pos="2586"/>
                <w:tab w:val="left" w:pos="4003"/>
                <w:tab w:val="left" w:pos="4179"/>
              </w:tabs>
              <w:spacing w:after="360"/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2"/>
          </w:tcPr>
          <w:p w14:paraId="2ABF8725" w14:textId="331ADBA8" w:rsidR="009A1970" w:rsidRPr="00FB69D5" w:rsidRDefault="009A1970" w:rsidP="0093367E">
            <w:pPr>
              <w:tabs>
                <w:tab w:val="left" w:pos="743"/>
                <w:tab w:val="left" w:pos="2019"/>
                <w:tab w:val="left" w:pos="2586"/>
                <w:tab w:val="left" w:pos="4003"/>
                <w:tab w:val="left" w:pos="4179"/>
              </w:tabs>
              <w:spacing w:after="360"/>
              <w:rPr>
                <w:sz w:val="22"/>
                <w:szCs w:val="22"/>
              </w:rPr>
            </w:pPr>
            <w:r w:rsidRPr="00097D14">
              <w:rPr>
                <w:color w:val="F2F2F2" w:themeColor="background1" w:themeShade="F2"/>
                <w:lang w:val="en-US" w:eastAsia="ru-RU"/>
              </w:rPr>
              <w:t>%OUT_NUM%</w:t>
            </w:r>
          </w:p>
        </w:tc>
        <w:tc>
          <w:tcPr>
            <w:tcW w:w="236" w:type="dxa"/>
            <w:gridSpan w:val="2"/>
          </w:tcPr>
          <w:p w14:paraId="10B060D9" w14:textId="77777777" w:rsidR="009A1970" w:rsidRPr="00FB69D5" w:rsidRDefault="009A1970" w:rsidP="0093367E">
            <w:pPr>
              <w:tabs>
                <w:tab w:val="left" w:pos="743"/>
                <w:tab w:val="left" w:pos="2019"/>
                <w:tab w:val="left" w:pos="2586"/>
                <w:tab w:val="left" w:pos="4003"/>
                <w:tab w:val="left" w:pos="4179"/>
              </w:tabs>
              <w:spacing w:after="360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6B6A36FE" w14:textId="286984CA" w:rsidR="009A1970" w:rsidRPr="00FB69D5" w:rsidRDefault="009A1970" w:rsidP="0093367E">
            <w:pPr>
              <w:tabs>
                <w:tab w:val="left" w:pos="743"/>
                <w:tab w:val="left" w:pos="2019"/>
                <w:tab w:val="left" w:pos="2586"/>
                <w:tab w:val="left" w:pos="4003"/>
                <w:tab w:val="left" w:pos="4179"/>
              </w:tabs>
              <w:spacing w:after="360"/>
              <w:rPr>
                <w:sz w:val="22"/>
                <w:szCs w:val="22"/>
              </w:rPr>
            </w:pPr>
            <w:r w:rsidRPr="00097D14">
              <w:rPr>
                <w:color w:val="F2F2F2" w:themeColor="background1" w:themeShade="F2"/>
                <w:lang w:val="en-US" w:eastAsia="ru-RU"/>
              </w:rPr>
              <w:t>%OUT_DATE%</w:t>
            </w:r>
          </w:p>
        </w:tc>
        <w:tc>
          <w:tcPr>
            <w:tcW w:w="420" w:type="dxa"/>
          </w:tcPr>
          <w:p w14:paraId="6B6A36FF" w14:textId="77777777" w:rsidR="009A1970" w:rsidRPr="00714972" w:rsidRDefault="009A1970" w:rsidP="009A1970">
            <w:pPr>
              <w:pStyle w:val="a0"/>
              <w:ind w:firstLine="0"/>
              <w:jc w:val="center"/>
            </w:pPr>
          </w:p>
        </w:tc>
        <w:tc>
          <w:tcPr>
            <w:tcW w:w="5147" w:type="dxa"/>
            <w:vMerge/>
          </w:tcPr>
          <w:p w14:paraId="6B6A3700" w14:textId="77777777" w:rsidR="009A1970" w:rsidRPr="00714972" w:rsidRDefault="009A1970" w:rsidP="009A1970">
            <w:pPr>
              <w:pStyle w:val="a0"/>
              <w:ind w:firstLine="0"/>
              <w:jc w:val="center"/>
            </w:pPr>
          </w:p>
        </w:tc>
      </w:tr>
      <w:tr w:rsidR="00B308F0" w:rsidRPr="00714972" w14:paraId="6B6A3705" w14:textId="77777777" w:rsidTr="00EE6561">
        <w:tc>
          <w:tcPr>
            <w:tcW w:w="4395" w:type="dxa"/>
            <w:gridSpan w:val="6"/>
          </w:tcPr>
          <w:p w14:paraId="6B6A3702" w14:textId="3A7B7A25" w:rsidR="00B308F0" w:rsidRPr="00714972" w:rsidRDefault="00B216AA" w:rsidP="00973ECF">
            <w:pPr>
              <w:pStyle w:val="a0"/>
              <w:spacing w:before="60" w:line="240" w:lineRule="auto"/>
              <w:ind w:firstLine="0"/>
              <w:jc w:val="left"/>
            </w:pPr>
            <w:r>
              <w:t>Об обращении</w:t>
            </w:r>
            <w:r w:rsidR="009D55C7">
              <w:t xml:space="preserve"> </w:t>
            </w:r>
          </w:p>
        </w:tc>
        <w:tc>
          <w:tcPr>
            <w:tcW w:w="420" w:type="dxa"/>
          </w:tcPr>
          <w:p w14:paraId="6B6A3703" w14:textId="77777777" w:rsidR="00B308F0" w:rsidRPr="00714972" w:rsidRDefault="00B308F0" w:rsidP="00B308F0">
            <w:pPr>
              <w:pStyle w:val="a0"/>
              <w:ind w:firstLine="0"/>
            </w:pPr>
          </w:p>
        </w:tc>
        <w:tc>
          <w:tcPr>
            <w:tcW w:w="5147" w:type="dxa"/>
            <w:vMerge/>
          </w:tcPr>
          <w:p w14:paraId="6B6A3704" w14:textId="77777777" w:rsidR="00B308F0" w:rsidRPr="00714972" w:rsidRDefault="00B308F0" w:rsidP="00B308F0">
            <w:pPr>
              <w:pStyle w:val="a0"/>
              <w:ind w:firstLine="0"/>
            </w:pPr>
          </w:p>
        </w:tc>
      </w:tr>
    </w:tbl>
    <w:p w14:paraId="685F302A" w14:textId="77777777" w:rsidR="009A1970" w:rsidRDefault="009A1970" w:rsidP="009A1970">
      <w:pPr>
        <w:ind w:firstLine="720"/>
        <w:jc w:val="both"/>
        <w:rPr>
          <w:sz w:val="28"/>
        </w:rPr>
      </w:pPr>
    </w:p>
    <w:p w14:paraId="2A935DBA" w14:textId="77777777" w:rsidR="00E328BC" w:rsidRDefault="00E328BC" w:rsidP="00E328BC">
      <w:pPr>
        <w:tabs>
          <w:tab w:val="left" w:pos="2835"/>
          <w:tab w:val="left" w:pos="4153"/>
          <w:tab w:val="right" w:pos="8306"/>
        </w:tabs>
        <w:spacing w:line="300" w:lineRule="auto"/>
        <w:ind w:firstLine="567"/>
        <w:jc w:val="center"/>
        <w:rPr>
          <w:sz w:val="28"/>
          <w:szCs w:val="28"/>
        </w:rPr>
      </w:pPr>
    </w:p>
    <w:p w14:paraId="5EA9ECF8" w14:textId="45431B4F" w:rsidR="00A9704B" w:rsidRDefault="00E328BC" w:rsidP="0007391A">
      <w:pPr>
        <w:tabs>
          <w:tab w:val="left" w:pos="2835"/>
          <w:tab w:val="left" w:pos="4153"/>
          <w:tab w:val="right" w:pos="8306"/>
        </w:tabs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973ECF">
        <w:rPr>
          <w:sz w:val="28"/>
          <w:szCs w:val="28"/>
        </w:rPr>
        <w:t>ый Виктор Федорович</w:t>
      </w:r>
      <w:r>
        <w:rPr>
          <w:sz w:val="28"/>
          <w:szCs w:val="28"/>
        </w:rPr>
        <w:t>!</w:t>
      </w:r>
    </w:p>
    <w:p w14:paraId="2C9E7F14" w14:textId="77777777" w:rsidR="00E328BC" w:rsidRDefault="00E328BC" w:rsidP="0007391A">
      <w:pPr>
        <w:tabs>
          <w:tab w:val="left" w:pos="2835"/>
          <w:tab w:val="left" w:pos="4153"/>
          <w:tab w:val="right" w:pos="8306"/>
        </w:tabs>
        <w:spacing w:line="276" w:lineRule="auto"/>
        <w:ind w:firstLine="567"/>
        <w:jc w:val="center"/>
        <w:rPr>
          <w:sz w:val="28"/>
          <w:szCs w:val="28"/>
        </w:rPr>
      </w:pPr>
    </w:p>
    <w:p w14:paraId="2286AE03" w14:textId="2932AD33" w:rsidR="000B52AA" w:rsidRDefault="00821436" w:rsidP="0007391A">
      <w:pPr>
        <w:tabs>
          <w:tab w:val="left" w:pos="2835"/>
          <w:tab w:val="left" w:pos="4153"/>
          <w:tab w:val="right" w:pos="8306"/>
        </w:tabs>
        <w:spacing w:line="276" w:lineRule="auto"/>
        <w:ind w:firstLine="567"/>
        <w:jc w:val="both"/>
        <w:rPr>
          <w:sz w:val="28"/>
          <w:szCs w:val="28"/>
        </w:rPr>
      </w:pPr>
      <w:r w:rsidRPr="00423E73">
        <w:rPr>
          <w:sz w:val="28"/>
          <w:szCs w:val="28"/>
        </w:rPr>
        <w:t xml:space="preserve">В Департаменте по работе с обращениями граждан, застрахованных </w:t>
      </w:r>
      <w:r w:rsidR="0036336F">
        <w:rPr>
          <w:sz w:val="28"/>
          <w:szCs w:val="28"/>
        </w:rPr>
        <w:t xml:space="preserve">           </w:t>
      </w:r>
      <w:r w:rsidRPr="00423E73">
        <w:rPr>
          <w:sz w:val="28"/>
          <w:szCs w:val="28"/>
        </w:rPr>
        <w:t>лиц, организ</w:t>
      </w:r>
      <w:r w:rsidR="00973ECF">
        <w:rPr>
          <w:sz w:val="28"/>
          <w:szCs w:val="28"/>
        </w:rPr>
        <w:t>аций и страхователей рассмотрено</w:t>
      </w:r>
      <w:r w:rsidR="00B216AA">
        <w:rPr>
          <w:sz w:val="28"/>
          <w:szCs w:val="28"/>
        </w:rPr>
        <w:t xml:space="preserve"> </w:t>
      </w:r>
      <w:r w:rsidR="00973ECF">
        <w:rPr>
          <w:sz w:val="28"/>
          <w:szCs w:val="28"/>
        </w:rPr>
        <w:t>Ваше очередное</w:t>
      </w:r>
      <w:r w:rsidR="00E328BC">
        <w:rPr>
          <w:sz w:val="28"/>
          <w:szCs w:val="28"/>
        </w:rPr>
        <w:t xml:space="preserve"> </w:t>
      </w:r>
      <w:r w:rsidR="00973ECF">
        <w:rPr>
          <w:sz w:val="28"/>
          <w:szCs w:val="28"/>
        </w:rPr>
        <w:t>обращение, поступивше</w:t>
      </w:r>
      <w:r w:rsidR="00E328BC">
        <w:rPr>
          <w:sz w:val="28"/>
          <w:szCs w:val="28"/>
        </w:rPr>
        <w:t xml:space="preserve">е из </w:t>
      </w:r>
      <w:r w:rsidR="0043168D">
        <w:rPr>
          <w:sz w:val="28"/>
          <w:szCs w:val="28"/>
        </w:rPr>
        <w:t>Министерства труда и социальной защиты Р</w:t>
      </w:r>
      <w:bookmarkStart w:id="0" w:name="_GoBack"/>
      <w:bookmarkEnd w:id="0"/>
      <w:r w:rsidR="00E328BC">
        <w:rPr>
          <w:sz w:val="28"/>
          <w:szCs w:val="28"/>
        </w:rPr>
        <w:t>оссийской Федерации.</w:t>
      </w:r>
    </w:p>
    <w:p w14:paraId="4B7EE33C" w14:textId="2A9B480C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>Сообщаем, что отношения, связанные с пенсионным обеспечением граждан,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пострадавших вследствие катастрофы на Чернобыльской АЭС, регулируются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Законом Российской Федераци</w:t>
      </w:r>
      <w:r>
        <w:rPr>
          <w:sz w:val="28"/>
          <w:szCs w:val="28"/>
        </w:rPr>
        <w:t>и от 15.05.1991 №</w:t>
      </w:r>
      <w:r w:rsidRPr="00973ECF">
        <w:rPr>
          <w:sz w:val="28"/>
          <w:szCs w:val="28"/>
        </w:rPr>
        <w:t xml:space="preserve"> 1244-1 «О социальной защите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граждан, подвергшихся воздействию радиации вследствие катастрофы на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Черн</w:t>
      </w:r>
      <w:r>
        <w:rPr>
          <w:sz w:val="28"/>
          <w:szCs w:val="28"/>
        </w:rPr>
        <w:t>обыльской АЭС» (далее – Закон №</w:t>
      </w:r>
      <w:r w:rsidRPr="00973ECF">
        <w:rPr>
          <w:sz w:val="28"/>
          <w:szCs w:val="28"/>
        </w:rPr>
        <w:t xml:space="preserve"> 1244-1), другими федеральными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законами, в том числе федера</w:t>
      </w:r>
      <w:r>
        <w:rPr>
          <w:sz w:val="28"/>
          <w:szCs w:val="28"/>
        </w:rPr>
        <w:t>льными законами от 15.12.2001 №</w:t>
      </w:r>
      <w:r w:rsidRPr="00973ECF">
        <w:rPr>
          <w:sz w:val="28"/>
          <w:szCs w:val="28"/>
        </w:rPr>
        <w:t xml:space="preserve"> 166-ФЗ «О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государственном пенсионном обеспечении в Российской Федерации» (далее –</w:t>
      </w:r>
      <w:r>
        <w:rPr>
          <w:sz w:val="28"/>
          <w:szCs w:val="28"/>
        </w:rPr>
        <w:t xml:space="preserve"> Закон № 166-ФЗ) и от 28.12.2013 №</w:t>
      </w:r>
      <w:r w:rsidRPr="00973ECF">
        <w:rPr>
          <w:sz w:val="28"/>
          <w:szCs w:val="28"/>
        </w:rPr>
        <w:t xml:space="preserve"> 400-ФЗ «О страховых пенсиях» (далее –</w:t>
      </w:r>
      <w:r>
        <w:rPr>
          <w:sz w:val="28"/>
          <w:szCs w:val="28"/>
        </w:rPr>
        <w:t xml:space="preserve"> Закон №</w:t>
      </w:r>
      <w:r w:rsidRPr="00973ECF">
        <w:rPr>
          <w:sz w:val="28"/>
          <w:szCs w:val="28"/>
        </w:rPr>
        <w:t xml:space="preserve"> 400-ФЗ).</w:t>
      </w:r>
    </w:p>
    <w:p w14:paraId="18A1DE9F" w14:textId="39AF81D7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 xml:space="preserve">Так, нормами пункта 2 </w:t>
      </w:r>
      <w:r>
        <w:rPr>
          <w:sz w:val="28"/>
          <w:szCs w:val="28"/>
        </w:rPr>
        <w:t>части первой статьи 29 Закона №</w:t>
      </w:r>
      <w:r w:rsidRPr="00973ECF">
        <w:rPr>
          <w:sz w:val="28"/>
          <w:szCs w:val="28"/>
        </w:rPr>
        <w:t xml:space="preserve"> 1244-1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военнослужащим и военнообязанным, призванным на специальные и поверочные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сборы, направленным и командированным для работы по ликвидации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последствий катастрофы на Чернобыльской АЭС и при этом исполнявшим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обязанности военной службы (служебные обязанности), ставшим инвалидами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вследствие чернобыльской катастрофы, гарантировано право на назначение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пенсий в порядке, установленном законодательством Российской Федерации для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lastRenderedPageBreak/>
        <w:t>граждан, ставших инвалидами вследствие военной травмы, в том числе на пенсию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 инвалидности вследствие военной травмы в соответствии с нормами статьи 15</w:t>
      </w:r>
      <w:r>
        <w:rPr>
          <w:sz w:val="28"/>
          <w:szCs w:val="28"/>
        </w:rPr>
        <w:t xml:space="preserve"> Закона №</w:t>
      </w:r>
      <w:r w:rsidRPr="00973ECF">
        <w:rPr>
          <w:sz w:val="28"/>
          <w:szCs w:val="28"/>
        </w:rPr>
        <w:t xml:space="preserve"> 166-ФЗ.</w:t>
      </w:r>
    </w:p>
    <w:p w14:paraId="13E42314" w14:textId="240315FD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>При этом согласно нормам подпунк</w:t>
      </w:r>
      <w:r>
        <w:rPr>
          <w:sz w:val="28"/>
          <w:szCs w:val="28"/>
        </w:rPr>
        <w:t>та 1 пункта 3 статьи 3 Закона №</w:t>
      </w:r>
      <w:r w:rsidRPr="00973ECF">
        <w:rPr>
          <w:sz w:val="28"/>
          <w:szCs w:val="28"/>
        </w:rPr>
        <w:t xml:space="preserve"> 166-ФЗ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гражданам, ставшим инвалидами вследствие военной травмы, к которым может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относиться указанная категория граждан, предоставлено право на одновременное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получение двух пенсий: пенсии по инвалидности вследствие военной травмы в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соответствии с нормами статьи 15 указанного Закона и страховой пенсии по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старости. Право указанных лиц на досрочную страховую пенсию по старости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урегулировано нормами подпункта 3 пункта 1 статьи 32 Федерального закона «О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страховых пенсиях»: мужчинам по достижении возраста 55 лет и женщинам по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достижении возраста 50 лет при наличии страхового стажа соответственно не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менее 25 и 20 лет и при наличии величины индивидуального пенсионного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коэффициента в размере не менее 30 (с учетом переходных положений статьи 35).</w:t>
      </w:r>
    </w:p>
    <w:p w14:paraId="1F688211" w14:textId="61E938EA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>Данный вопрос являлся предметом рассмотрения Конституционного Суда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Российской Федерации, который опр</w:t>
      </w:r>
      <w:r>
        <w:rPr>
          <w:sz w:val="28"/>
          <w:szCs w:val="28"/>
        </w:rPr>
        <w:t>еделением от 25.01.2007 №</w:t>
      </w:r>
      <w:r w:rsidRPr="00973ECF">
        <w:rPr>
          <w:sz w:val="28"/>
          <w:szCs w:val="28"/>
        </w:rPr>
        <w:t xml:space="preserve"> 19-О установил,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что изменение правового регулирования в отношении рассматриваемой категории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граждан является прерогативой законодателя.</w:t>
      </w:r>
    </w:p>
    <w:p w14:paraId="2DFE91A6" w14:textId="77777777" w:rsid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>Кроме того, указанная позиция подтверждена Верховным Судом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Российской Федерации постановление Пленума Верховного Суда Российской</w:t>
      </w:r>
      <w:r>
        <w:rPr>
          <w:sz w:val="28"/>
          <w:szCs w:val="28"/>
        </w:rPr>
        <w:t xml:space="preserve"> Федерации от 14.12.2000 №</w:t>
      </w:r>
      <w:r w:rsidRPr="00973ECF">
        <w:rPr>
          <w:sz w:val="28"/>
          <w:szCs w:val="28"/>
        </w:rPr>
        <w:t xml:space="preserve"> 35 (в редакции постановления Пленума Верховного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Суда Российской Федерации от 05.04.2005</w:t>
      </w:r>
      <w:r>
        <w:rPr>
          <w:sz w:val="28"/>
          <w:szCs w:val="28"/>
        </w:rPr>
        <w:t xml:space="preserve"> №</w:t>
      </w:r>
      <w:r w:rsidRPr="00973ECF">
        <w:rPr>
          <w:sz w:val="28"/>
          <w:szCs w:val="28"/>
        </w:rPr>
        <w:t xml:space="preserve"> 2), определение Верховного Суда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Рос</w:t>
      </w:r>
      <w:r>
        <w:rPr>
          <w:sz w:val="28"/>
          <w:szCs w:val="28"/>
        </w:rPr>
        <w:t>сийской Федерации от 26.12.2005</w:t>
      </w:r>
      <w:r w:rsidRPr="00973E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73ECF">
        <w:rPr>
          <w:sz w:val="28"/>
          <w:szCs w:val="28"/>
        </w:rPr>
        <w:t xml:space="preserve"> 42-В05-11, определение Верховного</w:t>
      </w:r>
      <w:r>
        <w:rPr>
          <w:sz w:val="28"/>
          <w:szCs w:val="28"/>
        </w:rPr>
        <w:t xml:space="preserve">   </w:t>
      </w:r>
      <w:r w:rsidRPr="00973ECF">
        <w:rPr>
          <w:sz w:val="28"/>
          <w:szCs w:val="28"/>
        </w:rPr>
        <w:t>Суда Российс</w:t>
      </w:r>
      <w:r>
        <w:rPr>
          <w:sz w:val="28"/>
          <w:szCs w:val="28"/>
        </w:rPr>
        <w:t>кой Федерации от 25.07.2008 №</w:t>
      </w:r>
      <w:r w:rsidRPr="00973ECF">
        <w:rPr>
          <w:sz w:val="28"/>
          <w:szCs w:val="28"/>
        </w:rPr>
        <w:t xml:space="preserve"> 46-В08-8), исходя из которой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инвалиды вследствие чернобыльской катастрофы из числа военнослужащих 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других лиц, перечисленных в но</w:t>
      </w:r>
      <w:r>
        <w:rPr>
          <w:sz w:val="28"/>
          <w:szCs w:val="28"/>
        </w:rPr>
        <w:t>рме пункта 2 статьи 29 Закона №</w:t>
      </w:r>
      <w:r w:rsidRPr="00973ECF">
        <w:rPr>
          <w:sz w:val="28"/>
          <w:szCs w:val="28"/>
        </w:rPr>
        <w:t xml:space="preserve"> 1244-1, после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1 января 2002 года имеют право на получение двух пенсий на основании пункта 3</w:t>
      </w:r>
      <w:r>
        <w:rPr>
          <w:sz w:val="28"/>
          <w:szCs w:val="28"/>
        </w:rPr>
        <w:t xml:space="preserve"> статьи 3 Закона №</w:t>
      </w:r>
      <w:r w:rsidRPr="00973ECF">
        <w:rPr>
          <w:sz w:val="28"/>
          <w:szCs w:val="28"/>
        </w:rPr>
        <w:t xml:space="preserve"> 166-ФЗ. </w:t>
      </w:r>
    </w:p>
    <w:p w14:paraId="7D8B76E6" w14:textId="0F69B0E7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>При этом назначение второй трудовой (с 01.01.2015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страховой) пенсии по старости может быть осуществлено на основании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подпункт</w:t>
      </w:r>
      <w:r>
        <w:rPr>
          <w:sz w:val="28"/>
          <w:szCs w:val="28"/>
        </w:rPr>
        <w:t>а 3 пункта 1 статьи 28 Закона №</w:t>
      </w:r>
      <w:r w:rsidRPr="00973ECF">
        <w:rPr>
          <w:sz w:val="28"/>
          <w:szCs w:val="28"/>
        </w:rPr>
        <w:t xml:space="preserve"> 173-ФЗ (с 01.01.2015 в соответствии с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подпункто</w:t>
      </w:r>
      <w:r>
        <w:rPr>
          <w:sz w:val="28"/>
          <w:szCs w:val="28"/>
        </w:rPr>
        <w:t>м 3 пункта 1 статьи 32 Закона №</w:t>
      </w:r>
      <w:r w:rsidRPr="00973ECF">
        <w:rPr>
          <w:sz w:val="28"/>
          <w:szCs w:val="28"/>
        </w:rPr>
        <w:t xml:space="preserve"> 400-ФЗ), как инвалидам вследствие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военной травмы.</w:t>
      </w:r>
    </w:p>
    <w:p w14:paraId="5E7BF45A" w14:textId="31E99B98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t>Таким об</w:t>
      </w:r>
      <w:r>
        <w:rPr>
          <w:sz w:val="28"/>
          <w:szCs w:val="28"/>
        </w:rPr>
        <w:t>разом, нормы статьи 30 Закона №</w:t>
      </w:r>
      <w:r w:rsidRPr="00973ECF">
        <w:rPr>
          <w:sz w:val="28"/>
          <w:szCs w:val="28"/>
        </w:rPr>
        <w:t xml:space="preserve"> 1244-1 (уменьшение возраста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выхода на пенсию по старости на 10 лет) при назначении рассматриваемым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гражданам второй страховой пенсии по старости по нормам, предусмотренным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законодательством для инвалидов вследствие военной травмы, не применяются.</w:t>
      </w:r>
    </w:p>
    <w:p w14:paraId="269B76D1" w14:textId="5DE16239" w:rsidR="00973ECF" w:rsidRPr="00973ECF" w:rsidRDefault="00973ECF" w:rsidP="00973ECF">
      <w:pPr>
        <w:spacing w:line="276" w:lineRule="auto"/>
        <w:ind w:firstLine="709"/>
        <w:jc w:val="both"/>
        <w:rPr>
          <w:sz w:val="28"/>
          <w:szCs w:val="28"/>
        </w:rPr>
      </w:pPr>
      <w:r w:rsidRPr="00973ECF">
        <w:rPr>
          <w:sz w:val="28"/>
          <w:szCs w:val="28"/>
        </w:rPr>
        <w:lastRenderedPageBreak/>
        <w:t>Исходя из изложенного</w:t>
      </w:r>
      <w:r>
        <w:rPr>
          <w:sz w:val="28"/>
          <w:szCs w:val="28"/>
        </w:rPr>
        <w:t>,</w:t>
      </w:r>
      <w:r w:rsidRPr="00973ECF">
        <w:rPr>
          <w:sz w:val="28"/>
          <w:szCs w:val="28"/>
        </w:rPr>
        <w:t xml:space="preserve"> военнослужащие и военнообязанные, принимавшие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участие в 1986-1987 годах в работах по ликвидации последствий аварии на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Чернобыльской АЭС, ставшие инвалидами вследствие чернобыльской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катастрофы, получающие пенсию по инвалидности вследствие военной травмы по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государственному пенсионному обеспечению, имеют право на установление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второй страховой пенсии по старости по достижении возраста 55 и 50 лет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(соответственно мужчины и женщины) при наличии страхового стажа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соответственно не менее 25 и 20 лет и при наличии величины индивидуального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пенсионного коэффициента в размере не менее 30 (с учетом переходных</w:t>
      </w:r>
      <w:r>
        <w:rPr>
          <w:sz w:val="28"/>
          <w:szCs w:val="28"/>
        </w:rPr>
        <w:t xml:space="preserve"> </w:t>
      </w:r>
      <w:r w:rsidRPr="00973ECF">
        <w:rPr>
          <w:sz w:val="28"/>
          <w:szCs w:val="28"/>
        </w:rPr>
        <w:t>положений статьи 35).</w:t>
      </w:r>
    </w:p>
    <w:p w14:paraId="7A68C025" w14:textId="789B770E" w:rsidR="00FC1716" w:rsidRDefault="00FC1716" w:rsidP="00973ECF">
      <w:pPr>
        <w:spacing w:line="276" w:lineRule="auto"/>
        <w:ind w:firstLine="709"/>
        <w:jc w:val="both"/>
        <w:rPr>
          <w:sz w:val="28"/>
        </w:rPr>
      </w:pPr>
      <w:r w:rsidRPr="00FC1716">
        <w:rPr>
          <w:sz w:val="28"/>
        </w:rPr>
        <w:t xml:space="preserve">По </w:t>
      </w:r>
      <w:r>
        <w:rPr>
          <w:sz w:val="28"/>
        </w:rPr>
        <w:t>имеющимся в распоряжении Отделения СФР</w:t>
      </w:r>
      <w:r w:rsidRPr="00FC1716">
        <w:rPr>
          <w:sz w:val="28"/>
        </w:rPr>
        <w:t xml:space="preserve"> документам у </w:t>
      </w:r>
      <w:r>
        <w:rPr>
          <w:sz w:val="28"/>
        </w:rPr>
        <w:t xml:space="preserve">Вас </w:t>
      </w:r>
      <w:r w:rsidRPr="00FC1716">
        <w:rPr>
          <w:sz w:val="28"/>
        </w:rPr>
        <w:t>отсутствует необходимая для установления страховой пенсии по старости продолжите</w:t>
      </w:r>
      <w:r>
        <w:rPr>
          <w:sz w:val="28"/>
        </w:rPr>
        <w:t>льность страхового стажа 25 лет.</w:t>
      </w:r>
    </w:p>
    <w:p w14:paraId="02BEDD63" w14:textId="3B383A42" w:rsidR="000C53D8" w:rsidRDefault="00FC1716" w:rsidP="00973EC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этой связи правовых оснований для установления Вам страховой пенсии по старост не имеется.</w:t>
      </w:r>
      <w:r w:rsidRPr="00FC1716">
        <w:rPr>
          <w:sz w:val="28"/>
        </w:rPr>
        <w:t xml:space="preserve"> </w:t>
      </w:r>
    </w:p>
    <w:p w14:paraId="6D6CF687" w14:textId="5D07F4F7" w:rsidR="00901E56" w:rsidRPr="00F836E3" w:rsidRDefault="00901E56" w:rsidP="00CC2E1D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10031" w:type="dxa"/>
        <w:tblInd w:w="-284" w:type="dxa"/>
        <w:tblLook w:val="00A0" w:firstRow="1" w:lastRow="0" w:firstColumn="1" w:lastColumn="0" w:noHBand="0" w:noVBand="0"/>
      </w:tblPr>
      <w:tblGrid>
        <w:gridCol w:w="3828"/>
        <w:gridCol w:w="2835"/>
        <w:gridCol w:w="3368"/>
      </w:tblGrid>
      <w:tr w:rsidR="009A1970" w:rsidRPr="00041E28" w14:paraId="472329CB" w14:textId="77777777" w:rsidTr="00821436">
        <w:trPr>
          <w:trHeight w:val="647"/>
        </w:trPr>
        <w:tc>
          <w:tcPr>
            <w:tcW w:w="10031" w:type="dxa"/>
            <w:gridSpan w:val="3"/>
          </w:tcPr>
          <w:p w14:paraId="1095351C" w14:textId="77777777" w:rsidR="009A1970" w:rsidRPr="000D3CC2" w:rsidRDefault="009A1970" w:rsidP="00821436">
            <w:pPr>
              <w:spacing w:before="480" w:after="480"/>
              <w:rPr>
                <w:sz w:val="28"/>
                <w:szCs w:val="28"/>
              </w:rPr>
            </w:pPr>
          </w:p>
        </w:tc>
      </w:tr>
      <w:tr w:rsidR="009A1970" w:rsidRPr="00041E28" w14:paraId="26B6FBB9" w14:textId="77777777" w:rsidTr="0093367E">
        <w:trPr>
          <w:trHeight w:val="284"/>
        </w:trPr>
        <w:tc>
          <w:tcPr>
            <w:tcW w:w="3828" w:type="dxa"/>
          </w:tcPr>
          <w:p w14:paraId="78C2B4E0" w14:textId="7A0360C0" w:rsidR="0007391A" w:rsidRDefault="0007391A" w:rsidP="0081016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821436" w:rsidRPr="006752E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810163">
              <w:rPr>
                <w:sz w:val="28"/>
                <w:szCs w:val="28"/>
              </w:rPr>
              <w:t xml:space="preserve"> </w:t>
            </w:r>
          </w:p>
          <w:p w14:paraId="2B073A8C" w14:textId="464D1DA3" w:rsidR="009A1970" w:rsidRPr="00982134" w:rsidRDefault="00821436" w:rsidP="00810163">
            <w:pPr>
              <w:suppressAutoHyphens/>
              <w:rPr>
                <w:rStyle w:val="14"/>
              </w:rPr>
            </w:pPr>
            <w:r>
              <w:rPr>
                <w:sz w:val="28"/>
                <w:szCs w:val="28"/>
              </w:rPr>
              <w:t>Департамента</w:t>
            </w:r>
            <w:r w:rsidR="0007391A">
              <w:rPr>
                <w:sz w:val="28"/>
                <w:szCs w:val="28"/>
              </w:rPr>
              <w:t>-начальник отдела</w:t>
            </w:r>
          </w:p>
        </w:tc>
        <w:tc>
          <w:tcPr>
            <w:tcW w:w="2835" w:type="dxa"/>
            <w:vAlign w:val="bottom"/>
          </w:tcPr>
          <w:p w14:paraId="4F5DD29E" w14:textId="77777777" w:rsidR="009A1970" w:rsidRPr="00982134" w:rsidRDefault="009A1970" w:rsidP="00821436">
            <w:pPr>
              <w:rPr>
                <w:rStyle w:val="14"/>
              </w:rPr>
            </w:pPr>
          </w:p>
        </w:tc>
        <w:tc>
          <w:tcPr>
            <w:tcW w:w="3368" w:type="dxa"/>
            <w:vAlign w:val="bottom"/>
          </w:tcPr>
          <w:p w14:paraId="5D65D55B" w14:textId="45CD671A" w:rsidR="009A1970" w:rsidRPr="00E03734" w:rsidRDefault="0007391A" w:rsidP="0007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С.Н. Титаренко</w:t>
            </w:r>
            <w:r w:rsidR="00A4060A">
              <w:rPr>
                <w:sz w:val="28"/>
                <w:szCs w:val="28"/>
              </w:rPr>
              <w:t xml:space="preserve">         </w:t>
            </w:r>
            <w:r w:rsidR="00810163">
              <w:rPr>
                <w:sz w:val="28"/>
                <w:szCs w:val="28"/>
              </w:rPr>
              <w:t xml:space="preserve">            </w:t>
            </w:r>
          </w:p>
        </w:tc>
      </w:tr>
      <w:tr w:rsidR="009A1970" w:rsidRPr="00041E28" w14:paraId="5CB5D655" w14:textId="77777777" w:rsidTr="00821436">
        <w:trPr>
          <w:trHeight w:val="284"/>
        </w:trPr>
        <w:tc>
          <w:tcPr>
            <w:tcW w:w="3828" w:type="dxa"/>
          </w:tcPr>
          <w:p w14:paraId="54E39EC1" w14:textId="77777777" w:rsidR="009A1970" w:rsidRDefault="009A1970" w:rsidP="00821436">
            <w:pPr>
              <w:suppressAutoHyphens/>
              <w:rPr>
                <w:rStyle w:val="14"/>
              </w:rPr>
            </w:pPr>
          </w:p>
        </w:tc>
        <w:tc>
          <w:tcPr>
            <w:tcW w:w="2835" w:type="dxa"/>
            <w:vAlign w:val="bottom"/>
          </w:tcPr>
          <w:p w14:paraId="3B4E34F2" w14:textId="77777777" w:rsidR="009A1970" w:rsidRPr="00982134" w:rsidRDefault="009A1970" w:rsidP="00821436">
            <w:pPr>
              <w:rPr>
                <w:rStyle w:val="14"/>
              </w:rPr>
            </w:pPr>
          </w:p>
        </w:tc>
        <w:tc>
          <w:tcPr>
            <w:tcW w:w="3368" w:type="dxa"/>
          </w:tcPr>
          <w:p w14:paraId="4251F1CB" w14:textId="77777777" w:rsidR="009A1970" w:rsidRDefault="009A1970" w:rsidP="00821436">
            <w:pPr>
              <w:jc w:val="right"/>
              <w:rPr>
                <w:sz w:val="28"/>
                <w:szCs w:val="28"/>
              </w:rPr>
            </w:pPr>
          </w:p>
        </w:tc>
      </w:tr>
      <w:tr w:rsidR="009A1970" w:rsidRPr="00041E28" w14:paraId="71A9A5C1" w14:textId="77777777" w:rsidTr="00821436">
        <w:trPr>
          <w:trHeight w:val="284"/>
        </w:trPr>
        <w:tc>
          <w:tcPr>
            <w:tcW w:w="3828" w:type="dxa"/>
          </w:tcPr>
          <w:p w14:paraId="46EC4FB3" w14:textId="77777777" w:rsidR="009A1970" w:rsidRPr="00982134" w:rsidRDefault="009A1970" w:rsidP="00821436">
            <w:pPr>
              <w:suppressAutoHyphens/>
              <w:rPr>
                <w:rStyle w:val="14"/>
              </w:rPr>
            </w:pPr>
          </w:p>
        </w:tc>
        <w:tc>
          <w:tcPr>
            <w:tcW w:w="2835" w:type="dxa"/>
          </w:tcPr>
          <w:p w14:paraId="72BA512D" w14:textId="77777777" w:rsidR="009A1970" w:rsidRDefault="009A1970" w:rsidP="00821436">
            <w:pPr>
              <w:rPr>
                <w:rStyle w:val="14"/>
              </w:rPr>
            </w:pPr>
            <w:r w:rsidRPr="00237246">
              <w:rPr>
                <w:rStyle w:val="14"/>
                <w:color w:val="F2F2F2" w:themeColor="background1" w:themeShade="F2"/>
              </w:rPr>
              <w:t>%SIGN_STAMP%</w:t>
            </w:r>
          </w:p>
        </w:tc>
        <w:tc>
          <w:tcPr>
            <w:tcW w:w="3368" w:type="dxa"/>
          </w:tcPr>
          <w:p w14:paraId="70C932AA" w14:textId="77777777" w:rsidR="009A1970" w:rsidRDefault="009A1970" w:rsidP="00821436">
            <w:pPr>
              <w:rPr>
                <w:sz w:val="28"/>
                <w:szCs w:val="28"/>
              </w:rPr>
            </w:pPr>
          </w:p>
        </w:tc>
      </w:tr>
    </w:tbl>
    <w:p w14:paraId="7D539DD6" w14:textId="77777777" w:rsidR="000C53D8" w:rsidRDefault="000C53D8" w:rsidP="009A1970">
      <w:pPr>
        <w:pStyle w:val="a0"/>
        <w:ind w:firstLine="0"/>
        <w:rPr>
          <w:b/>
          <w:bCs/>
          <w:iCs/>
        </w:rPr>
      </w:pPr>
    </w:p>
    <w:sectPr w:rsidR="000C53D8" w:rsidSect="00D268BE">
      <w:headerReference w:type="even" r:id="rId10"/>
      <w:headerReference w:type="default" r:id="rId11"/>
      <w:pgSz w:w="11907" w:h="16840"/>
      <w:pgMar w:top="1276" w:right="567" w:bottom="1247" w:left="1418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A371B" w14:textId="77777777" w:rsidR="00973ECF" w:rsidRDefault="00973ECF">
      <w:r>
        <w:separator/>
      </w:r>
    </w:p>
  </w:endnote>
  <w:endnote w:type="continuationSeparator" w:id="0">
    <w:p w14:paraId="6B6A371C" w14:textId="77777777" w:rsidR="00973ECF" w:rsidRDefault="009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A3719" w14:textId="77777777" w:rsidR="00973ECF" w:rsidRDefault="00973ECF">
      <w:r>
        <w:separator/>
      </w:r>
    </w:p>
  </w:footnote>
  <w:footnote w:type="continuationSeparator" w:id="0">
    <w:p w14:paraId="6B6A371A" w14:textId="77777777" w:rsidR="00973ECF" w:rsidRDefault="0097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A371D" w14:textId="77777777" w:rsidR="00973ECF" w:rsidRDefault="00973EC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6A371E" w14:textId="77777777" w:rsidR="00973ECF" w:rsidRDefault="00973E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69907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6A371F" w14:textId="77777777" w:rsidR="00973ECF" w:rsidRPr="00FB69D5" w:rsidRDefault="00973ECF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43168D">
          <w:rPr>
            <w:noProof/>
            <w:sz w:val="24"/>
            <w:szCs w:val="24"/>
          </w:rPr>
          <w:t>3</w:t>
        </w:r>
        <w:r w:rsidRPr="00FB69D5">
          <w:rPr>
            <w:sz w:val="24"/>
            <w:szCs w:val="24"/>
          </w:rPr>
          <w:fldChar w:fldCharType="end"/>
        </w:r>
      </w:p>
    </w:sdtContent>
  </w:sdt>
  <w:p w14:paraId="6B6A3720" w14:textId="77777777" w:rsidR="00973ECF" w:rsidRDefault="00973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removeDateAndTime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5A"/>
    <w:rsid w:val="00002770"/>
    <w:rsid w:val="00005249"/>
    <w:rsid w:val="000255C0"/>
    <w:rsid w:val="00027586"/>
    <w:rsid w:val="00033299"/>
    <w:rsid w:val="0007391A"/>
    <w:rsid w:val="000874C8"/>
    <w:rsid w:val="000916C4"/>
    <w:rsid w:val="000B1DC8"/>
    <w:rsid w:val="000B3652"/>
    <w:rsid w:val="000B52AA"/>
    <w:rsid w:val="000C53D8"/>
    <w:rsid w:val="000D16D5"/>
    <w:rsid w:val="000E67F2"/>
    <w:rsid w:val="000F191F"/>
    <w:rsid w:val="000F584A"/>
    <w:rsid w:val="00100A45"/>
    <w:rsid w:val="0012309A"/>
    <w:rsid w:val="00125C39"/>
    <w:rsid w:val="00142A6E"/>
    <w:rsid w:val="00144351"/>
    <w:rsid w:val="001554FD"/>
    <w:rsid w:val="001678FE"/>
    <w:rsid w:val="00182A46"/>
    <w:rsid w:val="00193DF1"/>
    <w:rsid w:val="00194CB5"/>
    <w:rsid w:val="0019542E"/>
    <w:rsid w:val="001A06BD"/>
    <w:rsid w:val="001B23D2"/>
    <w:rsid w:val="001C7C0D"/>
    <w:rsid w:val="001F07A4"/>
    <w:rsid w:val="00200273"/>
    <w:rsid w:val="00203E66"/>
    <w:rsid w:val="00204FF9"/>
    <w:rsid w:val="0020748F"/>
    <w:rsid w:val="0021333A"/>
    <w:rsid w:val="00214063"/>
    <w:rsid w:val="002967B4"/>
    <w:rsid w:val="002A7845"/>
    <w:rsid w:val="002B11A3"/>
    <w:rsid w:val="002B2FF9"/>
    <w:rsid w:val="002C1BC8"/>
    <w:rsid w:val="00300EA2"/>
    <w:rsid w:val="00301517"/>
    <w:rsid w:val="00301863"/>
    <w:rsid w:val="00303B76"/>
    <w:rsid w:val="00303E09"/>
    <w:rsid w:val="00305A6A"/>
    <w:rsid w:val="00336A3B"/>
    <w:rsid w:val="0034141E"/>
    <w:rsid w:val="00342137"/>
    <w:rsid w:val="00347025"/>
    <w:rsid w:val="00350C8D"/>
    <w:rsid w:val="00357815"/>
    <w:rsid w:val="00357AF4"/>
    <w:rsid w:val="0036336F"/>
    <w:rsid w:val="0036551F"/>
    <w:rsid w:val="0037473B"/>
    <w:rsid w:val="0038610A"/>
    <w:rsid w:val="003A0882"/>
    <w:rsid w:val="003A1E7B"/>
    <w:rsid w:val="003A41B3"/>
    <w:rsid w:val="00406384"/>
    <w:rsid w:val="004116FB"/>
    <w:rsid w:val="00413EFF"/>
    <w:rsid w:val="00423E73"/>
    <w:rsid w:val="004265AC"/>
    <w:rsid w:val="0042765D"/>
    <w:rsid w:val="0043168D"/>
    <w:rsid w:val="00474CCE"/>
    <w:rsid w:val="004917FB"/>
    <w:rsid w:val="004A3380"/>
    <w:rsid w:val="004A7EF8"/>
    <w:rsid w:val="004D6348"/>
    <w:rsid w:val="004D65B6"/>
    <w:rsid w:val="004E3134"/>
    <w:rsid w:val="004F4762"/>
    <w:rsid w:val="00513C19"/>
    <w:rsid w:val="0052109D"/>
    <w:rsid w:val="00547323"/>
    <w:rsid w:val="00561E99"/>
    <w:rsid w:val="00575DAA"/>
    <w:rsid w:val="0058583E"/>
    <w:rsid w:val="00587ECE"/>
    <w:rsid w:val="005A6644"/>
    <w:rsid w:val="005C66FF"/>
    <w:rsid w:val="005D3065"/>
    <w:rsid w:val="005F42E9"/>
    <w:rsid w:val="005F49C2"/>
    <w:rsid w:val="00607135"/>
    <w:rsid w:val="006134F2"/>
    <w:rsid w:val="0062417F"/>
    <w:rsid w:val="00646380"/>
    <w:rsid w:val="0066315A"/>
    <w:rsid w:val="00680616"/>
    <w:rsid w:val="00680B53"/>
    <w:rsid w:val="00680FE4"/>
    <w:rsid w:val="006851D5"/>
    <w:rsid w:val="00692A21"/>
    <w:rsid w:val="00694B9F"/>
    <w:rsid w:val="006A2DFD"/>
    <w:rsid w:val="006A6F14"/>
    <w:rsid w:val="006B6493"/>
    <w:rsid w:val="006B6BDD"/>
    <w:rsid w:val="006C4EFC"/>
    <w:rsid w:val="006D231F"/>
    <w:rsid w:val="006D6B40"/>
    <w:rsid w:val="006E0EB6"/>
    <w:rsid w:val="006E1D64"/>
    <w:rsid w:val="006E5C74"/>
    <w:rsid w:val="006F6364"/>
    <w:rsid w:val="00707F3C"/>
    <w:rsid w:val="00714972"/>
    <w:rsid w:val="007506D0"/>
    <w:rsid w:val="007543D4"/>
    <w:rsid w:val="00766289"/>
    <w:rsid w:val="007716EC"/>
    <w:rsid w:val="00774237"/>
    <w:rsid w:val="00794CFA"/>
    <w:rsid w:val="007A00FE"/>
    <w:rsid w:val="007A3450"/>
    <w:rsid w:val="007C4B1A"/>
    <w:rsid w:val="007D1838"/>
    <w:rsid w:val="007D1CFC"/>
    <w:rsid w:val="007D585A"/>
    <w:rsid w:val="007D6B0C"/>
    <w:rsid w:val="007E0F8D"/>
    <w:rsid w:val="007E1047"/>
    <w:rsid w:val="007E1EE3"/>
    <w:rsid w:val="007F7E82"/>
    <w:rsid w:val="00802AA0"/>
    <w:rsid w:val="00810163"/>
    <w:rsid w:val="00810C54"/>
    <w:rsid w:val="00821436"/>
    <w:rsid w:val="00822590"/>
    <w:rsid w:val="008273E5"/>
    <w:rsid w:val="00833963"/>
    <w:rsid w:val="008400E3"/>
    <w:rsid w:val="00852640"/>
    <w:rsid w:val="008554F5"/>
    <w:rsid w:val="00855B07"/>
    <w:rsid w:val="008617CC"/>
    <w:rsid w:val="00863428"/>
    <w:rsid w:val="0086499E"/>
    <w:rsid w:val="0087668E"/>
    <w:rsid w:val="008870C7"/>
    <w:rsid w:val="00895484"/>
    <w:rsid w:val="008A5F47"/>
    <w:rsid w:val="008B7BE7"/>
    <w:rsid w:val="008D065B"/>
    <w:rsid w:val="008D6886"/>
    <w:rsid w:val="008F1FC7"/>
    <w:rsid w:val="008F2EE7"/>
    <w:rsid w:val="00901E56"/>
    <w:rsid w:val="009066FF"/>
    <w:rsid w:val="00910498"/>
    <w:rsid w:val="00911FD1"/>
    <w:rsid w:val="00913349"/>
    <w:rsid w:val="00914BA3"/>
    <w:rsid w:val="0092165D"/>
    <w:rsid w:val="00933157"/>
    <w:rsid w:val="0093367E"/>
    <w:rsid w:val="009406F0"/>
    <w:rsid w:val="00953F17"/>
    <w:rsid w:val="009633ED"/>
    <w:rsid w:val="00966D66"/>
    <w:rsid w:val="00973ECF"/>
    <w:rsid w:val="0097531D"/>
    <w:rsid w:val="0098174C"/>
    <w:rsid w:val="009846CD"/>
    <w:rsid w:val="009934B8"/>
    <w:rsid w:val="009A1970"/>
    <w:rsid w:val="009B0956"/>
    <w:rsid w:val="009B2CA0"/>
    <w:rsid w:val="009C0518"/>
    <w:rsid w:val="009D00CC"/>
    <w:rsid w:val="009D55C7"/>
    <w:rsid w:val="009F01AA"/>
    <w:rsid w:val="009F425A"/>
    <w:rsid w:val="00A0198C"/>
    <w:rsid w:val="00A03040"/>
    <w:rsid w:val="00A10829"/>
    <w:rsid w:val="00A1141A"/>
    <w:rsid w:val="00A162CD"/>
    <w:rsid w:val="00A16AC9"/>
    <w:rsid w:val="00A21792"/>
    <w:rsid w:val="00A26900"/>
    <w:rsid w:val="00A31BC4"/>
    <w:rsid w:val="00A36D0B"/>
    <w:rsid w:val="00A4060A"/>
    <w:rsid w:val="00A540C6"/>
    <w:rsid w:val="00A73C95"/>
    <w:rsid w:val="00A9704B"/>
    <w:rsid w:val="00AC4314"/>
    <w:rsid w:val="00AD17AF"/>
    <w:rsid w:val="00AD2B64"/>
    <w:rsid w:val="00AE40F2"/>
    <w:rsid w:val="00B11601"/>
    <w:rsid w:val="00B216AA"/>
    <w:rsid w:val="00B21C1A"/>
    <w:rsid w:val="00B274D0"/>
    <w:rsid w:val="00B3027F"/>
    <w:rsid w:val="00B308F0"/>
    <w:rsid w:val="00B31D0A"/>
    <w:rsid w:val="00B70737"/>
    <w:rsid w:val="00B81C21"/>
    <w:rsid w:val="00B91BDE"/>
    <w:rsid w:val="00B962DD"/>
    <w:rsid w:val="00BA62C3"/>
    <w:rsid w:val="00BC625B"/>
    <w:rsid w:val="00BD54FB"/>
    <w:rsid w:val="00BE444D"/>
    <w:rsid w:val="00BE7DE6"/>
    <w:rsid w:val="00BF1134"/>
    <w:rsid w:val="00BF3C37"/>
    <w:rsid w:val="00BF585C"/>
    <w:rsid w:val="00C02A5A"/>
    <w:rsid w:val="00C10748"/>
    <w:rsid w:val="00C10BD4"/>
    <w:rsid w:val="00C17BC8"/>
    <w:rsid w:val="00C2297A"/>
    <w:rsid w:val="00C34B8F"/>
    <w:rsid w:val="00C40A06"/>
    <w:rsid w:val="00C56040"/>
    <w:rsid w:val="00C7146F"/>
    <w:rsid w:val="00C75966"/>
    <w:rsid w:val="00CB7E4B"/>
    <w:rsid w:val="00CC2E1D"/>
    <w:rsid w:val="00CD4DC0"/>
    <w:rsid w:val="00CD6216"/>
    <w:rsid w:val="00CE3D95"/>
    <w:rsid w:val="00D01102"/>
    <w:rsid w:val="00D07A71"/>
    <w:rsid w:val="00D23246"/>
    <w:rsid w:val="00D268BE"/>
    <w:rsid w:val="00D27DA8"/>
    <w:rsid w:val="00D41153"/>
    <w:rsid w:val="00D5257D"/>
    <w:rsid w:val="00D52A1C"/>
    <w:rsid w:val="00D7554D"/>
    <w:rsid w:val="00DB5C95"/>
    <w:rsid w:val="00DD1C08"/>
    <w:rsid w:val="00DD23DA"/>
    <w:rsid w:val="00DD3802"/>
    <w:rsid w:val="00DE2830"/>
    <w:rsid w:val="00E16C2F"/>
    <w:rsid w:val="00E219B2"/>
    <w:rsid w:val="00E2329A"/>
    <w:rsid w:val="00E23450"/>
    <w:rsid w:val="00E25EE1"/>
    <w:rsid w:val="00E328BC"/>
    <w:rsid w:val="00E336FD"/>
    <w:rsid w:val="00E5013A"/>
    <w:rsid w:val="00E51540"/>
    <w:rsid w:val="00E62C1A"/>
    <w:rsid w:val="00E74B64"/>
    <w:rsid w:val="00E7577B"/>
    <w:rsid w:val="00E91E54"/>
    <w:rsid w:val="00EB0244"/>
    <w:rsid w:val="00EB0E54"/>
    <w:rsid w:val="00EB657B"/>
    <w:rsid w:val="00ED1EE8"/>
    <w:rsid w:val="00ED343A"/>
    <w:rsid w:val="00ED3D6C"/>
    <w:rsid w:val="00EE0880"/>
    <w:rsid w:val="00EE18A3"/>
    <w:rsid w:val="00EE6561"/>
    <w:rsid w:val="00EF0AD5"/>
    <w:rsid w:val="00EF348A"/>
    <w:rsid w:val="00EF5962"/>
    <w:rsid w:val="00F005C2"/>
    <w:rsid w:val="00F02CA6"/>
    <w:rsid w:val="00F05136"/>
    <w:rsid w:val="00F1008C"/>
    <w:rsid w:val="00F1697D"/>
    <w:rsid w:val="00F44485"/>
    <w:rsid w:val="00F50555"/>
    <w:rsid w:val="00F75D98"/>
    <w:rsid w:val="00F81D88"/>
    <w:rsid w:val="00F81EC9"/>
    <w:rsid w:val="00F836E3"/>
    <w:rsid w:val="00F95DA8"/>
    <w:rsid w:val="00FA26AD"/>
    <w:rsid w:val="00FA6008"/>
    <w:rsid w:val="00FB3D54"/>
    <w:rsid w:val="00FB5C90"/>
    <w:rsid w:val="00FB69D5"/>
    <w:rsid w:val="00FC01BF"/>
    <w:rsid w:val="00FC1716"/>
    <w:rsid w:val="00FC47C1"/>
    <w:rsid w:val="00FD02E9"/>
    <w:rsid w:val="00FE100D"/>
    <w:rsid w:val="00FE2DB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4:docId w14:val="6B6A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uiPriority w:val="99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9A1970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0C53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C53D8"/>
    <w:rPr>
      <w:sz w:val="16"/>
      <w:szCs w:val="16"/>
      <w:lang w:eastAsia="en-US"/>
    </w:rPr>
  </w:style>
  <w:style w:type="character" w:styleId="af1">
    <w:name w:val="Hyperlink"/>
    <w:basedOn w:val="a1"/>
    <w:uiPriority w:val="99"/>
    <w:unhideWhenUsed/>
    <w:rsid w:val="00E32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uiPriority w:val="99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9A1970"/>
    <w:rPr>
      <w:rFonts w:ascii="Times New Roman" w:hAnsi="Times New Roman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0C53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0C53D8"/>
    <w:rPr>
      <w:sz w:val="16"/>
      <w:szCs w:val="16"/>
      <w:lang w:eastAsia="en-US"/>
    </w:rPr>
  </w:style>
  <w:style w:type="character" w:styleId="af1">
    <w:name w:val="Hyperlink"/>
    <w:basedOn w:val="a1"/>
    <w:uiPriority w:val="99"/>
    <w:unhideWhenUsed/>
    <w:rsid w:val="00E32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dorishev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AC01-7602-4EBB-BBC7-103ACCFB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4258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2024-02-19T14:19:00Z</dcterms:created>
  <dcterms:modified xsi:type="dcterms:W3CDTF">2024-02-19T14:21:00Z</dcterms:modified>
</cp:coreProperties>
</file>